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sz w:val="28"/>
          <w:szCs w:val="28"/>
        </w:rPr>
      </w:pPr>
      <w:r/>
      <w:bookmarkStart w:id="0" w:name="P1613"/>
      <w:r/>
      <w:bookmarkEnd w:id="0"/>
      <w:r>
        <w:rPr>
          <w:sz w:val="28"/>
          <w:szCs w:val="28"/>
        </w:rPr>
        <w:t xml:space="preserve">Мониторинг реализации Программы Нефтекумского </w:t>
      </w:r>
      <w:r>
        <w:rPr>
          <w:sz w:val="28"/>
          <w:szCs w:val="28"/>
        </w:rPr>
        <w:t xml:space="preserve">муниципального</w:t>
      </w:r>
      <w:r>
        <w:rPr>
          <w:sz w:val="28"/>
          <w:szCs w:val="28"/>
        </w:rPr>
        <w:t xml:space="preserve"> округа</w:t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Ставропольского края (</w:t>
      </w:r>
      <w:r>
        <w:rPr>
          <w:sz w:val="28"/>
          <w:szCs w:val="28"/>
        </w:rPr>
        <w:t xml:space="preserve">квартальная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«Развитие культуры»</w:t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Наименование Программы: муниципальная программа Нефтекумского </w:t>
      </w:r>
      <w:r>
        <w:rPr>
          <w:sz w:val="26"/>
          <w:szCs w:val="26"/>
        </w:rPr>
        <w:t xml:space="preserve">муниципального</w:t>
      </w:r>
      <w:r>
        <w:rPr>
          <w:sz w:val="26"/>
          <w:szCs w:val="26"/>
        </w:rPr>
        <w:t xml:space="preserve"> округа Ставропольского края «Развитие культуры», утвержденная распоряжением администрации Нефтекумского </w:t>
      </w:r>
      <w:r>
        <w:rPr>
          <w:sz w:val="26"/>
          <w:szCs w:val="26"/>
        </w:rPr>
        <w:t xml:space="preserve">муниципального</w:t>
      </w:r>
      <w:r>
        <w:rPr>
          <w:sz w:val="26"/>
          <w:szCs w:val="26"/>
        </w:rPr>
        <w:t xml:space="preserve"> округа</w:t>
      </w:r>
      <w:r>
        <w:rPr>
          <w:sz w:val="26"/>
          <w:szCs w:val="26"/>
        </w:rPr>
        <w:t xml:space="preserve"> Ставропольского края </w:t>
      </w:r>
      <w:r>
        <w:rPr>
          <w:sz w:val="26"/>
          <w:szCs w:val="26"/>
        </w:rPr>
      </w:r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2</w:t>
      </w:r>
      <w:r>
        <w:rPr>
          <w:sz w:val="26"/>
          <w:szCs w:val="26"/>
        </w:rPr>
        <w:t xml:space="preserve">7</w:t>
      </w:r>
      <w:r>
        <w:rPr>
          <w:sz w:val="26"/>
          <w:szCs w:val="26"/>
        </w:rPr>
        <w:t xml:space="preserve"> декабря </w:t>
      </w:r>
      <w:r>
        <w:rPr>
          <w:sz w:val="26"/>
          <w:szCs w:val="26"/>
        </w:rPr>
        <w:t xml:space="preserve">2024</w:t>
      </w:r>
      <w:r>
        <w:rPr>
          <w:sz w:val="26"/>
          <w:szCs w:val="26"/>
        </w:rPr>
        <w:t xml:space="preserve"> года № </w:t>
      </w:r>
      <w:r>
        <w:rPr>
          <w:sz w:val="26"/>
          <w:szCs w:val="26"/>
        </w:rPr>
        <w:t xml:space="preserve">2079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</w:r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(с изменениями от 27 декабря 2024 года № 2098, от 10 января 2025 года № 1</w:t>
      </w:r>
      <w:r>
        <w:rPr>
          <w:sz w:val="26"/>
          <w:szCs w:val="26"/>
        </w:rPr>
        <w:t xml:space="preserve">, от 18 апреля 2025г. № 479</w:t>
      </w:r>
      <w:r>
        <w:rPr>
          <w:sz w:val="26"/>
          <w:szCs w:val="26"/>
        </w:rPr>
        <w:t xml:space="preserve">)</w:t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  <w:t xml:space="preserve">Отчетный период: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0</w:t>
      </w:r>
      <w:r>
        <w:rPr>
          <w:sz w:val="26"/>
          <w:szCs w:val="26"/>
        </w:rPr>
        <w:t xml:space="preserve">9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месяцев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202</w:t>
      </w:r>
      <w:r>
        <w:rPr>
          <w:sz w:val="26"/>
          <w:szCs w:val="26"/>
        </w:rPr>
        <w:t xml:space="preserve">5</w:t>
      </w:r>
      <w:r>
        <w:rPr>
          <w:sz w:val="26"/>
          <w:szCs w:val="26"/>
        </w:rPr>
        <w:t xml:space="preserve"> года</w:t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  <w:t xml:space="preserve">Ответственный исполнитель: Отдел культуры администрации Нефтекумского </w:t>
      </w:r>
      <w:r>
        <w:rPr>
          <w:sz w:val="26"/>
          <w:szCs w:val="26"/>
        </w:rPr>
        <w:t xml:space="preserve">муниципального</w:t>
      </w:r>
      <w:r>
        <w:rPr>
          <w:sz w:val="26"/>
          <w:szCs w:val="26"/>
        </w:rPr>
        <w:t xml:space="preserve"> округа </w:t>
      </w:r>
      <w:r>
        <w:rPr>
          <w:sz w:val="26"/>
          <w:szCs w:val="26"/>
        </w:rPr>
        <w:t xml:space="preserve">Ставропольского края.</w:t>
      </w:r>
      <w:r>
        <w:rPr>
          <w:sz w:val="26"/>
          <w:szCs w:val="26"/>
        </w:rPr>
      </w:r>
    </w:p>
    <w:tbl>
      <w:tblPr>
        <w:tblW w:w="14910" w:type="dxa"/>
        <w:tblInd w:w="2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6"/>
        <w:gridCol w:w="9"/>
        <w:gridCol w:w="10"/>
        <w:gridCol w:w="697"/>
        <w:gridCol w:w="12"/>
        <w:gridCol w:w="6380"/>
        <w:gridCol w:w="142"/>
        <w:gridCol w:w="2551"/>
        <w:gridCol w:w="142"/>
        <w:gridCol w:w="1603"/>
        <w:gridCol w:w="80"/>
        <w:gridCol w:w="18"/>
        <w:gridCol w:w="69"/>
        <w:gridCol w:w="65"/>
        <w:gridCol w:w="1813"/>
        <w:gridCol w:w="16"/>
        <w:gridCol w:w="15"/>
        <w:gridCol w:w="6"/>
        <w:gridCol w:w="18"/>
        <w:gridCol w:w="1258"/>
      </w:tblGrid>
      <w:tr>
        <w:tblPrEx/>
        <w:trPr>
          <w:gridBefore w:val="1"/>
        </w:trPr>
        <w:tc>
          <w:tcPr>
            <w:gridSpan w:val="4"/>
            <w:tcW w:w="72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 xml:space="preserve">п</w:t>
            </w:r>
            <w:r>
              <w:rPr>
                <w:sz w:val="26"/>
                <w:szCs w:val="26"/>
              </w:rPr>
              <w:t xml:space="preserve">/</w:t>
            </w:r>
            <w:r>
              <w:rPr>
                <w:sz w:val="26"/>
                <w:szCs w:val="26"/>
              </w:rPr>
              <w:t xml:space="preserve">п</w:t>
            </w:r>
            <w:r>
              <w:rPr>
                <w:sz w:val="26"/>
                <w:szCs w:val="26"/>
              </w:rPr>
            </w:r>
          </w:p>
        </w:tc>
        <w:tc>
          <w:tcPr>
            <w:tcW w:w="638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Наименование основного мероприятия подпрограммы, мероприятия подпрограммы, контрольного события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План наступления контрольного события / факт наступления контрольного события</w:t>
            </w:r>
            <w:r>
              <w:rPr>
                <w:sz w:val="26"/>
                <w:szCs w:val="26"/>
              </w:rPr>
            </w:r>
          </w:p>
        </w:tc>
        <w:tc>
          <w:tcPr>
            <w:gridSpan w:val="11"/>
            <w:tcW w:w="4961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Исполнение за счет всех источников финансового обеспечения Программы </w:t>
            </w:r>
            <w:hyperlink w:tooltip="#P1605" w:anchor="P1605" w:history="1">
              <w:r>
                <w:rPr>
                  <w:sz w:val="26"/>
                  <w:szCs w:val="26"/>
                </w:rPr>
                <w:t xml:space="preserve">&lt;10&gt;</w:t>
              </w:r>
            </w:hyperlink>
            <w:r>
              <w:rPr>
                <w:sz w:val="26"/>
                <w:szCs w:val="26"/>
              </w:rPr>
              <w:t xml:space="preserve">, тыс. рублей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1"/>
        </w:trPr>
        <w:tc>
          <w:tcPr>
            <w:gridSpan w:val="4"/>
            <w:tcW w:w="728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6380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2835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межбюджетные трансферты из краевого бюджета</w:t>
            </w:r>
            <w:r>
              <w:rPr>
                <w:sz w:val="26"/>
                <w:szCs w:val="26"/>
              </w:rPr>
            </w:r>
          </w:p>
        </w:tc>
        <w:tc>
          <w:tcPr>
            <w:gridSpan w:val="4"/>
            <w:tcW w:w="196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местный бюджет</w:t>
            </w:r>
            <w:r>
              <w:rPr>
                <w:sz w:val="26"/>
                <w:szCs w:val="26"/>
              </w:rPr>
            </w:r>
          </w:p>
        </w:tc>
        <w:tc>
          <w:tcPr>
            <w:gridSpan w:val="4"/>
            <w:tcW w:w="1297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иные источники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1"/>
        </w:trPr>
        <w:tc>
          <w:tcPr>
            <w:gridSpan w:val="4"/>
            <w:tcW w:w="728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</w:r>
          </w:p>
        </w:tc>
        <w:tc>
          <w:tcPr>
            <w:tcW w:w="6380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2835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</w:t>
            </w:r>
            <w:r>
              <w:rPr>
                <w:sz w:val="26"/>
                <w:szCs w:val="26"/>
              </w:rPr>
            </w:r>
          </w:p>
        </w:tc>
        <w:tc>
          <w:tcPr>
            <w:gridSpan w:val="4"/>
            <w:tcW w:w="196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</w:t>
            </w:r>
            <w:r>
              <w:rPr>
                <w:sz w:val="26"/>
                <w:szCs w:val="26"/>
              </w:rPr>
            </w:r>
          </w:p>
        </w:tc>
        <w:tc>
          <w:tcPr>
            <w:gridSpan w:val="4"/>
            <w:tcW w:w="1297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1"/>
          <w:trHeight w:val="355"/>
        </w:trPr>
        <w:tc>
          <w:tcPr>
            <w:gridSpan w:val="4"/>
            <w:tcW w:w="728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6380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Программа «Развитие культуры».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2835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581,97</w:t>
            </w:r>
            <w:r>
              <w:rPr>
                <w:sz w:val="26"/>
                <w:szCs w:val="26"/>
              </w:rPr>
            </w:r>
          </w:p>
        </w:tc>
        <w:tc>
          <w:tcPr>
            <w:gridSpan w:val="4"/>
            <w:tcW w:w="196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170 444,08</w:t>
            </w:r>
            <w:r>
              <w:rPr>
                <w:sz w:val="26"/>
                <w:szCs w:val="26"/>
              </w:rPr>
            </w:r>
          </w:p>
        </w:tc>
        <w:tc>
          <w:tcPr>
            <w:gridSpan w:val="4"/>
            <w:tcW w:w="1297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1"/>
          <w:trHeight w:val="651"/>
        </w:trPr>
        <w:tc>
          <w:tcPr>
            <w:gridSpan w:val="4"/>
            <w:tcW w:w="728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</w:t>
            </w:r>
            <w:r>
              <w:rPr>
                <w:sz w:val="26"/>
                <w:szCs w:val="26"/>
              </w:rPr>
            </w:r>
          </w:p>
        </w:tc>
        <w:tc>
          <w:tcPr>
            <w:tcW w:w="6380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Подпрограмма «Развитие культуры и </w:t>
            </w:r>
            <w:r>
              <w:rPr>
                <w:sz w:val="26"/>
                <w:szCs w:val="26"/>
              </w:rPr>
              <w:t xml:space="preserve">проведение мероприятий событийного туризма»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2835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355,17</w:t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4"/>
            <w:tcW w:w="196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126 258,08</w:t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4"/>
            <w:tcW w:w="1297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1"/>
          <w:trHeight w:val="651"/>
        </w:trPr>
        <w:tc>
          <w:tcPr>
            <w:gridSpan w:val="4"/>
            <w:tcW w:w="728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1.1.</w:t>
            </w:r>
            <w:r>
              <w:rPr>
                <w:sz w:val="26"/>
                <w:szCs w:val="26"/>
              </w:rPr>
            </w:r>
          </w:p>
        </w:tc>
        <w:tc>
          <w:tcPr>
            <w:tcW w:w="6380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Основное мероприятие: </w:t>
            </w:r>
            <w:r>
              <w:rPr>
                <w:sz w:val="26"/>
                <w:szCs w:val="26"/>
              </w:rPr>
              <w:t xml:space="preserve">Обеспечение досуга населения учреждениями </w:t>
            </w:r>
            <w:r>
              <w:rPr>
                <w:sz w:val="26"/>
                <w:szCs w:val="26"/>
              </w:rPr>
              <w:t xml:space="preserve">культурно-досугового</w:t>
            </w:r>
            <w:r>
              <w:rPr>
                <w:sz w:val="26"/>
                <w:szCs w:val="26"/>
              </w:rPr>
              <w:t xml:space="preserve"> типа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2835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  <w:tc>
          <w:tcPr>
            <w:gridSpan w:val="4"/>
            <w:tcW w:w="196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80 444,84</w:t>
            </w:r>
            <w:r>
              <w:rPr>
                <w:sz w:val="26"/>
                <w:szCs w:val="26"/>
              </w:rPr>
            </w:r>
          </w:p>
        </w:tc>
        <w:tc>
          <w:tcPr>
            <w:gridSpan w:val="4"/>
            <w:tcW w:w="1297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651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pStyle w:val="6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 9 месяцев 2025 года муниципальными учреждениями культуры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культурно-досугового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типа Нефтекумского муниципального округа Ставропольского края в рамках данного основного мероприятия были выполнены все контрольные события. Число культурно-массовых мероприятий составило 4623 ед.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Число посещений </w:t>
            </w:r>
            <w:r>
              <w:rPr>
                <w:sz w:val="26"/>
                <w:szCs w:val="26"/>
              </w:rPr>
              <w:t xml:space="preserve">культурно-досуговых</w:t>
            </w:r>
            <w:r>
              <w:rPr>
                <w:sz w:val="26"/>
                <w:szCs w:val="26"/>
              </w:rPr>
              <w:t xml:space="preserve"> мероприятий, проводимых муниципальными учреждениями культуры </w:t>
            </w:r>
            <w:r>
              <w:rPr>
                <w:sz w:val="26"/>
                <w:szCs w:val="26"/>
              </w:rPr>
              <w:t xml:space="preserve">культурно-досугового</w:t>
            </w:r>
            <w:r>
              <w:rPr>
                <w:sz w:val="26"/>
                <w:szCs w:val="26"/>
              </w:rPr>
              <w:t xml:space="preserve"> типа Нефтекумского муниципального округа Ставропольского края, составило 485780 ед., что соответствует ходу реализации Программы.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651"/>
        </w:trPr>
        <w:tc>
          <w:tcPr>
            <w:gridSpan w:val="5"/>
            <w:tcW w:w="734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1.2</w:t>
            </w:r>
            <w:r>
              <w:rPr>
                <w:sz w:val="26"/>
                <w:szCs w:val="26"/>
              </w:rPr>
            </w:r>
          </w:p>
        </w:tc>
        <w:tc>
          <w:tcPr>
            <w:tcW w:w="6380" w:type="dxa"/>
            <w:textDirection w:val="lrTb"/>
            <w:noWrap w:val="false"/>
          </w:tcPr>
          <w:p>
            <w:pPr>
              <w:rPr>
                <w:i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Основное мероприятие: Сохранение и популяризация традиционной народной культуры</w:t>
            </w:r>
            <w:r>
              <w:rPr>
                <w:i/>
                <w:sz w:val="26"/>
                <w:szCs w:val="26"/>
              </w:rPr>
            </w:r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1745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  <w:tc>
          <w:tcPr>
            <w:gridSpan w:val="9"/>
            <w:tcW w:w="2100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2 976,24</w:t>
            </w:r>
            <w:r>
              <w:rPr>
                <w:sz w:val="26"/>
                <w:szCs w:val="26"/>
              </w:rPr>
            </w:r>
          </w:p>
        </w:tc>
        <w:tc>
          <w:tcPr>
            <w:tcW w:w="1258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pStyle w:val="6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 9 месяцев 2025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года муниципальным казенным учреждением культуры «Организационно-методический центр по обслуживанию учреждений культуры» Нефтекумского муниципального округа Ставропольского края в рамках данного основного мероприятия были выполнены все контрольные события.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Число </w:t>
            </w:r>
            <w:r>
              <w:rPr>
                <w:sz w:val="26"/>
                <w:szCs w:val="26"/>
              </w:rPr>
              <w:t xml:space="preserve">культурно-досуговых</w:t>
            </w:r>
            <w:r>
              <w:rPr>
                <w:sz w:val="26"/>
                <w:szCs w:val="26"/>
              </w:rPr>
              <w:t xml:space="preserve"> мероприятий, проводимых муниципальным казенным учреждением культуры «Организационно-методический центр по обслуживанию учреждений культуры» Нефтекумского муниципального округа Ставропольского края, составило 365 ед.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4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652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Контрольное событие: Встреча трех поколений «В Солдатской чайной», в рамках празднования Дня защитника Отечества</w:t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28.02.2025/19.02.2025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947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  <w:tc>
          <w:tcPr>
            <w:gridSpan w:val="5"/>
            <w:tcW w:w="131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Мероприятие проведено в срок и в полном объёме. В мероприятии  приняло участие 45 чел., что соответствует ходу реализации Программы 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4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652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Контрольное событие: X</w:t>
            </w:r>
            <w:r>
              <w:rPr>
                <w:sz w:val="26"/>
                <w:szCs w:val="26"/>
                <w:lang w:val="en-US"/>
              </w:rPr>
              <w:t xml:space="preserve">XVI</w:t>
            </w:r>
            <w:r>
              <w:rPr>
                <w:sz w:val="26"/>
                <w:szCs w:val="26"/>
              </w:rPr>
              <w:t xml:space="preserve">  районный фестиваль патриотической песни «Солдатский конверт»</w:t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28.02.2025/20.02.2025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947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  <w:tc>
          <w:tcPr>
            <w:gridSpan w:val="5"/>
            <w:tcW w:w="131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Мероприятия проведены в срок и в полном объёме. В мероприятии приняло участие 459 человек, что соответствует ходу реализации Программы.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4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652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Контрольное событие: </w:t>
            </w:r>
            <w:r>
              <w:rPr>
                <w:sz w:val="26"/>
                <w:szCs w:val="26"/>
              </w:rPr>
              <w:t xml:space="preserve">Олимпиада по музыкальной литературе в формате игры «Поле Чудес» среди учащихся детских музыкальных школ Нефтекумского муниципального округа Ставропольского края</w:t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31.03.2025/19.03.2025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947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  <w:tc>
          <w:tcPr>
            <w:gridSpan w:val="5"/>
            <w:tcW w:w="131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Мероприятие проведено в срок и в полном объёме. В конкурсе приняли  участие 48 участников,  что соответствует ходу реализации Программы.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660"/>
        </w:trPr>
        <w:tc>
          <w:tcPr>
            <w:gridSpan w:val="5"/>
            <w:tcW w:w="734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652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Контрольное событие: Праздник детской и юношеской книги «Пусть всегда будет книга», в рамках Международного Дня детской книги</w:t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31.03.2025/24.03.2025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947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  <w:tc>
          <w:tcPr>
            <w:gridSpan w:val="5"/>
            <w:tcW w:w="131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489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Мероприятие проведено в срок и в полном объёме. В конкурсе приняли  участие 85 участников,  что соответствует ходу реализации Программы.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4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652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Контрольное событие: Торжественное мероприятие: «Жизнь культуре посвящаем!», в рамках празднования </w:t>
            </w:r>
            <w:r>
              <w:rPr>
                <w:sz w:val="26"/>
                <w:szCs w:val="26"/>
              </w:rPr>
              <w:t xml:space="preserve">Дня  работника культуры</w:t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31.03.2025/28.03.2025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947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  <w:tc>
          <w:tcPr>
            <w:gridSpan w:val="5"/>
            <w:tcW w:w="131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Мероприятия проведены в срок и в полном объёме. Мероприятие посетило 365 человек, что соответствует ходу реализации Программы.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gridSpan w:val="2"/>
            <w:tcW w:w="6522" w:type="dxa"/>
            <w:textDirection w:val="lrTb"/>
            <w:noWrap w:val="false"/>
          </w:tcPr>
          <w:p>
            <w:pPr>
              <w:jc w:val="both"/>
              <w:rPr>
                <w:b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Контрольное </w:t>
            </w:r>
            <w:r>
              <w:rPr>
                <w:i/>
                <w:sz w:val="26"/>
                <w:szCs w:val="26"/>
              </w:rPr>
              <w:t xml:space="preserve">событие</w:t>
            </w:r>
            <w:r>
              <w:rPr>
                <w:i/>
                <w:sz w:val="26"/>
                <w:szCs w:val="26"/>
              </w:rPr>
              <w:t xml:space="preserve">:</w:t>
            </w:r>
            <w:r>
              <w:rPr>
                <w:sz w:val="26"/>
                <w:szCs w:val="26"/>
              </w:rPr>
              <w:t xml:space="preserve">Р</w:t>
            </w:r>
            <w:r>
              <w:rPr>
                <w:sz w:val="26"/>
                <w:szCs w:val="26"/>
              </w:rPr>
              <w:t xml:space="preserve">айонная</w:t>
            </w:r>
            <w:r>
              <w:rPr>
                <w:sz w:val="26"/>
                <w:szCs w:val="26"/>
              </w:rPr>
              <w:t xml:space="preserve"> выставка изделий народного творчества «Откровение», в рамках празднования Дня города Нефтекумска</w:t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30.04.2025/09.04.2025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gridSpan w:val="6"/>
            <w:tcW w:w="198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Мероприятия проведены в срок и в полном объёме. В мероприятии приняло участие 45 человек, что соответствует ходу реализации Программы.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gridSpan w:val="2"/>
            <w:tcW w:w="652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Контрольное </w:t>
            </w:r>
            <w:r>
              <w:rPr>
                <w:i/>
                <w:sz w:val="26"/>
                <w:szCs w:val="26"/>
              </w:rPr>
              <w:t xml:space="preserve">событие</w:t>
            </w:r>
            <w:r>
              <w:rPr>
                <w:i/>
                <w:sz w:val="26"/>
                <w:szCs w:val="26"/>
              </w:rPr>
              <w:t xml:space="preserve">:</w:t>
            </w:r>
            <w:r>
              <w:rPr>
                <w:sz w:val="26"/>
                <w:szCs w:val="26"/>
              </w:rPr>
              <w:t xml:space="preserve">Р</w:t>
            </w:r>
            <w:r>
              <w:rPr>
                <w:sz w:val="26"/>
                <w:szCs w:val="26"/>
              </w:rPr>
              <w:t xml:space="preserve">айонный</w:t>
            </w:r>
            <w:r>
              <w:rPr>
                <w:sz w:val="26"/>
                <w:szCs w:val="26"/>
              </w:rPr>
              <w:t xml:space="preserve"> фестиваль исполнительского мастерства «Листок из альбома» среди учащихся детских музыкальных школ Нефтекумского муниципального округа Ставропольского края</w:t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30.04.2025/22.04.2025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gridSpan w:val="6"/>
            <w:tcW w:w="198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Мероприятия проведены в срок и в полном объёме. В фестивале приняло участие 69 человек, что соответствует ходу реализации Программы.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4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r>
          </w:p>
        </w:tc>
        <w:tc>
          <w:tcPr>
            <w:gridSpan w:val="2"/>
            <w:tcW w:w="652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Контрольное </w:t>
            </w:r>
            <w:r>
              <w:rPr>
                <w:i/>
                <w:sz w:val="26"/>
                <w:szCs w:val="26"/>
              </w:rPr>
              <w:t xml:space="preserve">событие</w:t>
            </w:r>
            <w:r>
              <w:rPr>
                <w:i/>
                <w:sz w:val="26"/>
                <w:szCs w:val="26"/>
              </w:rPr>
              <w:t xml:space="preserve">:</w:t>
            </w:r>
            <w:r>
              <w:rPr>
                <w:rFonts w:eastAsiaTheme="minorEastAsia"/>
                <w:sz w:val="26"/>
                <w:szCs w:val="26"/>
              </w:rPr>
              <w:t xml:space="preserve">С</w:t>
            </w:r>
            <w:r>
              <w:rPr>
                <w:rFonts w:eastAsiaTheme="minorEastAsia"/>
                <w:sz w:val="26"/>
                <w:szCs w:val="26"/>
              </w:rPr>
              <w:t xml:space="preserve">обытийное</w:t>
            </w:r>
            <w:r>
              <w:rPr>
                <w:rFonts w:eastAsiaTheme="minorEastAsia"/>
                <w:sz w:val="26"/>
                <w:szCs w:val="26"/>
              </w:rPr>
              <w:t xml:space="preserve"> мероприятие: Национальный праздник «</w:t>
            </w:r>
            <w:r>
              <w:rPr>
                <w:rFonts w:eastAsiaTheme="minorEastAsia"/>
                <w:sz w:val="26"/>
                <w:szCs w:val="26"/>
              </w:rPr>
              <w:t xml:space="preserve">Сабантой</w:t>
            </w:r>
            <w:r>
              <w:rPr>
                <w:rFonts w:eastAsiaTheme="minorEastAsia"/>
                <w:sz w:val="26"/>
                <w:szCs w:val="26"/>
              </w:rPr>
              <w:t xml:space="preserve">»</w:t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30.04.2025/26.04.2025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r>
          </w:p>
        </w:tc>
        <w:tc>
          <w:tcPr>
            <w:gridSpan w:val="6"/>
            <w:tcW w:w="198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r>
          </w:p>
        </w:tc>
      </w:tr>
      <w:tr>
        <w:tblPrEx/>
        <w:trPr>
          <w:trHeight w:val="287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Мероприятие проведено в срок и в полном объёме. Всего  приняло участие 150 чел., что соответствует ходу реализации Программы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4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r>
          </w:p>
        </w:tc>
        <w:tc>
          <w:tcPr>
            <w:gridSpan w:val="2"/>
            <w:tcW w:w="652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Контрольное </w:t>
            </w:r>
            <w:r>
              <w:rPr>
                <w:i/>
                <w:sz w:val="26"/>
                <w:szCs w:val="26"/>
              </w:rPr>
              <w:t xml:space="preserve">событие</w:t>
            </w:r>
            <w:r>
              <w:rPr>
                <w:i/>
                <w:sz w:val="26"/>
                <w:szCs w:val="26"/>
              </w:rPr>
              <w:t xml:space="preserve">:</w:t>
            </w:r>
            <w:r>
              <w:rPr>
                <w:rFonts w:eastAsiaTheme="minorEastAsia"/>
                <w:sz w:val="26"/>
                <w:szCs w:val="26"/>
              </w:rPr>
              <w:t xml:space="preserve">С</w:t>
            </w:r>
            <w:r>
              <w:rPr>
                <w:rFonts w:eastAsiaTheme="minorEastAsia"/>
                <w:sz w:val="26"/>
                <w:szCs w:val="26"/>
              </w:rPr>
              <w:t xml:space="preserve">обытийное</w:t>
            </w:r>
            <w:r>
              <w:rPr>
                <w:rFonts w:eastAsiaTheme="minorEastAsia"/>
                <w:sz w:val="26"/>
                <w:szCs w:val="26"/>
              </w:rPr>
              <w:t xml:space="preserve"> мероприятие: Народное гуляние «</w:t>
            </w:r>
            <w:r>
              <w:rPr>
                <w:rFonts w:eastAsiaTheme="minorEastAsia"/>
                <w:sz w:val="26"/>
                <w:szCs w:val="26"/>
              </w:rPr>
              <w:t xml:space="preserve">Бахар-Байрам</w:t>
            </w:r>
            <w:r>
              <w:rPr>
                <w:rFonts w:eastAsiaTheme="minorEastAsia"/>
                <w:sz w:val="26"/>
                <w:szCs w:val="26"/>
              </w:rPr>
              <w:t xml:space="preserve">» («Весенний праздник»)</w:t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31.05.2025/05.05.2025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r>
          </w:p>
        </w:tc>
        <w:tc>
          <w:tcPr>
            <w:gridSpan w:val="6"/>
            <w:tcW w:w="198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Мероприятие проведено в срок и в полном объёме. Всего приняло участие 250 чел.,  что соответствует ходу реализации Программы.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gridSpan w:val="2"/>
            <w:tcW w:w="6522" w:type="dxa"/>
            <w:textDirection w:val="lrTb"/>
            <w:noWrap w:val="false"/>
          </w:tcPr>
          <w:p>
            <w:pPr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Контрольное событие</w:t>
            </w:r>
            <w:r>
              <w:rPr>
                <w:sz w:val="26"/>
                <w:szCs w:val="26"/>
              </w:rPr>
              <w:t xml:space="preserve"> Районный конкурс чтецов «Салют, Победа!»,  посвященный Дню Победы в ВОВ</w:t>
            </w:r>
            <w:r>
              <w:rPr>
                <w:i/>
                <w:sz w:val="26"/>
                <w:szCs w:val="26"/>
              </w:rPr>
            </w:r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31.05.2025/06.05.2025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gridSpan w:val="6"/>
            <w:tcW w:w="198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Мероприятия проведены в срок и в полном объёме. Всего приняло участие 45 человек, что соответствует ходу реализации Программы.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gridSpan w:val="2"/>
            <w:tcW w:w="652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Контрольное </w:t>
            </w:r>
            <w:r>
              <w:rPr>
                <w:i/>
                <w:sz w:val="26"/>
                <w:szCs w:val="26"/>
              </w:rPr>
              <w:t xml:space="preserve">событие</w:t>
            </w:r>
            <w:r>
              <w:rPr>
                <w:i/>
                <w:sz w:val="26"/>
                <w:szCs w:val="26"/>
              </w:rPr>
              <w:t xml:space="preserve">:</w:t>
            </w:r>
            <w:r>
              <w:rPr>
                <w:rFonts w:eastAsiaTheme="minorEastAsia"/>
                <w:sz w:val="26"/>
                <w:szCs w:val="26"/>
              </w:rPr>
              <w:t xml:space="preserve">Т</w:t>
            </w:r>
            <w:r>
              <w:rPr>
                <w:rFonts w:eastAsiaTheme="minorEastAsia"/>
                <w:sz w:val="26"/>
                <w:szCs w:val="26"/>
              </w:rPr>
              <w:t xml:space="preserve">оржественные</w:t>
            </w:r>
            <w:r>
              <w:rPr>
                <w:rFonts w:eastAsiaTheme="minorEastAsia"/>
                <w:sz w:val="26"/>
                <w:szCs w:val="26"/>
              </w:rPr>
              <w:t xml:space="preserve"> и праздничные  мероприятия, посвященные празднованию Дня Победы </w:t>
            </w:r>
            <w:r>
              <w:rPr>
                <w:rFonts w:eastAsiaTheme="minorEastAsia"/>
                <w:sz w:val="26"/>
                <w:szCs w:val="26"/>
              </w:rPr>
              <w:t xml:space="preserve">в ВОВ</w:t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31.05.2025/09.05.2025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gridSpan w:val="6"/>
            <w:tcW w:w="198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Мероприятие проведено в срок и в полном объёме. В мероприятии приняло участие 900 чел.,  что соответствует ходу реализации Программы.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gridSpan w:val="2"/>
            <w:tcW w:w="652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Контрольное событие:</w:t>
            </w:r>
            <w:r>
              <w:rPr>
                <w:sz w:val="26"/>
                <w:szCs w:val="26"/>
              </w:rPr>
              <w:t xml:space="preserve">  Участие  учащихся МБУДО «Нефтекумская детская музыкальная школа» НМО СК в составе Сводного (тысячного) детского хора Ставропольского края в </w:t>
            </w:r>
            <w:r>
              <w:rPr>
                <w:sz w:val="26"/>
                <w:szCs w:val="26"/>
              </w:rPr>
              <w:t xml:space="preserve">г</w:t>
            </w:r>
            <w:r>
              <w:rPr>
                <w:sz w:val="26"/>
                <w:szCs w:val="26"/>
              </w:rPr>
              <w:t xml:space="preserve">. Ставрополь, в рамках празднования Дня Победы</w:t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gridSpan w:val="6"/>
            <w:tcW w:w="198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Мероприятие проведено в срок и в полном объёме. В мероприятии приняло участие 21 чел.,  что соответствует ходу реализации Программы.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gridSpan w:val="2"/>
            <w:tcW w:w="652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Контрольное событие:</w:t>
            </w:r>
            <w:r>
              <w:rPr>
                <w:sz w:val="26"/>
                <w:szCs w:val="26"/>
              </w:rPr>
              <w:t xml:space="preserve">  Районный марафон-конкурс декоративно-прикладного творчества и изобразительного искусства «Помним имя твоё, Солдат!»</w:t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31.05.2025/16.05.2025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gridSpan w:val="6"/>
            <w:tcW w:w="198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Мероприятие проведено в срок и в полном объёме. В мероприятии приняло участие 230 чел., что соответствует ходу реализации Программы.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4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r>
          </w:p>
        </w:tc>
        <w:tc>
          <w:tcPr>
            <w:gridSpan w:val="2"/>
            <w:tcW w:w="652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Контрольное событие: </w:t>
            </w:r>
            <w:r>
              <w:rPr>
                <w:rFonts w:eastAsiaTheme="minorEastAsia"/>
                <w:sz w:val="26"/>
                <w:szCs w:val="26"/>
              </w:rPr>
              <w:t xml:space="preserve">Событийное мероприятие: Фестиваль национальных культур, народного творчества и традиционного костюма «Возвращение к истокам»</w:t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31.05.2025/23.05.2025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r>
          </w:p>
        </w:tc>
        <w:tc>
          <w:tcPr>
            <w:gridSpan w:val="6"/>
            <w:tcW w:w="198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Мероприятие проведено в срок и в полном объёме. Всего приняло участие 33 творческих коллектива района, участников – 550 человек, что соответствует ходу реализации Программы.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4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gridSpan w:val="2"/>
            <w:tcW w:w="6522" w:type="dxa"/>
            <w:textDirection w:val="lrTb"/>
            <w:noWrap w:val="false"/>
          </w:tcPr>
          <w:p>
            <w:pPr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Контрольное событие:</w:t>
            </w:r>
            <w:r>
              <w:rPr>
                <w:sz w:val="26"/>
                <w:szCs w:val="26"/>
              </w:rPr>
              <w:t xml:space="preserve">  Районный конкурс профессионального мастерства библиотекарей «Грани профессии»  </w:t>
            </w:r>
            <w:r>
              <w:rPr>
                <w:i/>
                <w:sz w:val="26"/>
                <w:szCs w:val="26"/>
              </w:rPr>
            </w:r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31.05.2025/27.05.2025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gridSpan w:val="6"/>
            <w:tcW w:w="198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Мероприятие проведено в срок и в полном объёме. В мероприятии приняло участие 30 чел., что соответствует ходу реализации Программы.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4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gridSpan w:val="2"/>
            <w:tcW w:w="652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Контрольное событие</w:t>
            </w:r>
            <w:r>
              <w:rPr>
                <w:sz w:val="26"/>
                <w:szCs w:val="26"/>
              </w:rPr>
              <w:t xml:space="preserve">: Районная выставка-конкурс детского народного творчества «Мое счастливое детство», посвященная Международному дню защиты </w:t>
            </w:r>
            <w:r>
              <w:rPr>
                <w:sz w:val="26"/>
                <w:szCs w:val="26"/>
              </w:rPr>
              <w:t xml:space="preserve">детей</w:t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30.06.2025/06.06.2025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gridSpan w:val="6"/>
            <w:tcW w:w="198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Мероприятие проведено в срок и в полном объёме. В мероприятии приняло участие 278 человек, что соответствует ходу реализации Программы.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4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gridSpan w:val="2"/>
            <w:tcW w:w="652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Контрольное событие: </w:t>
            </w:r>
            <w:r>
              <w:rPr>
                <w:rFonts w:eastAsiaTheme="minorEastAsia"/>
                <w:sz w:val="26"/>
                <w:szCs w:val="26"/>
              </w:rPr>
              <w:t xml:space="preserve">Торжественное мероприятие «Свеча памяти»</w:t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30.06.2025/22.06.2025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gridSpan w:val="6"/>
            <w:tcW w:w="198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Мероприятие проведено в срок и в полном объёме. В мероприятии приняло участие 150 человек, что соответствует ходу реализации Программы.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gridSpan w:val="2"/>
            <w:tcW w:w="6522" w:type="dxa"/>
            <w:vAlign w:val="center"/>
            <w:textDirection w:val="lrTb"/>
            <w:noWrap w:val="false"/>
          </w:tcPr>
          <w:p>
            <w:pPr>
              <w:pStyle w:val="665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i/>
                <w:sz w:val="26"/>
                <w:szCs w:val="26"/>
              </w:rPr>
              <w:t xml:space="preserve">Контрольное событие:</w:t>
            </w:r>
            <w:r>
              <w:rPr>
                <w:b w:val="0"/>
                <w:sz w:val="26"/>
                <w:szCs w:val="26"/>
              </w:rPr>
              <w:t xml:space="preserve">  Районный праздник «Моя семья – моя крепость», посвященный Дню семьи, любви и верности</w:t>
            </w:r>
            <w:r>
              <w:rPr>
                <w:b w:val="0"/>
                <w:sz w:val="26"/>
                <w:szCs w:val="26"/>
              </w:rPr>
            </w:r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31.07.2025/04.07.2025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gridSpan w:val="6"/>
            <w:tcW w:w="198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Мероприятие проведено в срок и в полном объёме. Всего приняло участие 52 человека, что соответствует ходу реализации Программы.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gridSpan w:val="2"/>
            <w:tcW w:w="652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Контрольное событие:</w:t>
            </w:r>
            <w:r>
              <w:rPr>
                <w:sz w:val="26"/>
                <w:szCs w:val="26"/>
              </w:rPr>
              <w:t xml:space="preserve">  Выставка декоративно-прикладного творчества и изобразительного искусства «Семейные традиции», посвященная Дню семьи, любви и верности</w:t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31.07.2025/31.07.2025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gridSpan w:val="6"/>
            <w:tcW w:w="198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Мероприятия проведены в срок и в полном объёме. В мероприятии приняло участие 117 человек, что соответствует ходу реализации Программы.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gridSpan w:val="2"/>
            <w:tcW w:w="652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Контрольное событие: </w:t>
            </w:r>
            <w:r>
              <w:rPr>
                <w:sz w:val="26"/>
                <w:szCs w:val="26"/>
              </w:rPr>
              <w:t xml:space="preserve">Районная выставка «Этот флаг все в мире знают» ко Дню Государственного флага РФ</w:t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31.08.2025/22.08.2025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gridSpan w:val="6"/>
            <w:tcW w:w="198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Мероприятия проведены в срок и в полном объёме. В мероприятии приняло участие 380 человек, что соответствует ходу реализации Программы.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gridSpan w:val="2"/>
            <w:tcW w:w="6522" w:type="dxa"/>
            <w:textDirection w:val="lrTb"/>
            <w:noWrap w:val="false"/>
          </w:tcPr>
          <w:p>
            <w:pPr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Контрольное событие:</w:t>
            </w:r>
            <w:r>
              <w:rPr>
                <w:sz w:val="26"/>
                <w:szCs w:val="26"/>
              </w:rPr>
              <w:t xml:space="preserve">  Участие творческих коллективов Нефтекумского муниципального округа  в краевой сельскохозяйственной выставке</w:t>
            </w:r>
            <w:r>
              <w:rPr>
                <w:i/>
                <w:sz w:val="26"/>
                <w:szCs w:val="26"/>
              </w:rPr>
            </w:r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30.09.2025/06.09.2025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gridSpan w:val="6"/>
            <w:tcW w:w="198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Мероприятия проведены в срок и в полном объёме. В мероприятии приняло участие 25 человек, что соответствует ходу реализации Программы.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gridSpan w:val="2"/>
            <w:tcW w:w="6522" w:type="dxa"/>
            <w:textDirection w:val="lrTb"/>
            <w:noWrap w:val="false"/>
          </w:tcPr>
          <w:p>
            <w:pPr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Контрольное событие: </w:t>
            </w:r>
            <w:r>
              <w:rPr>
                <w:sz w:val="26"/>
                <w:szCs w:val="26"/>
              </w:rPr>
              <w:t xml:space="preserve">Торжественное мероприятие «Поклон родной земле», посвященное годовщине образования Нефтекумского района</w:t>
            </w:r>
            <w:r>
              <w:rPr>
                <w:i/>
                <w:sz w:val="26"/>
                <w:szCs w:val="26"/>
              </w:rPr>
            </w:r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30.09.2025/26.09.2025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gridSpan w:val="6"/>
            <w:tcW w:w="198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Мероприятия проведены в срок и в полном объёме. Всего приняло участие 200 человек, что соответствует ходу реализации Программы.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4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652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Контрольное событие: </w:t>
            </w:r>
            <w:r>
              <w:rPr>
                <w:sz w:val="26"/>
                <w:szCs w:val="26"/>
              </w:rPr>
              <w:t xml:space="preserve">Районная выставка-к</w:t>
            </w:r>
            <w:r>
              <w:rPr>
                <w:color w:val="1d1b11"/>
                <w:sz w:val="26"/>
                <w:szCs w:val="26"/>
              </w:rPr>
              <w:t xml:space="preserve">онкурс декоративно-прикладного творчества и изобразительного искусства «Родное мое </w:t>
            </w:r>
            <w:r>
              <w:rPr>
                <w:color w:val="1d1b11"/>
                <w:sz w:val="26"/>
                <w:szCs w:val="26"/>
              </w:rPr>
              <w:t xml:space="preserve">Нефтекумье</w:t>
            </w:r>
            <w:r>
              <w:rPr>
                <w:color w:val="1d1b11"/>
                <w:sz w:val="26"/>
                <w:szCs w:val="26"/>
              </w:rPr>
              <w:t xml:space="preserve">», посвященная годовщине образования Нефтекумского района</w:t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30.09.2025/30.09.2025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6"/>
            <w:tcW w:w="1984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Мероприятия проведены в срок и в полном объёме. Всего приняло участие 250 человек, что соответствует ходу реализации Программы.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4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1.3</w:t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652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Основное мероприятие: Сохранение объектов культурного наследия, памятников</w:t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0,00</w:t>
            </w:r>
            <w:r>
              <w:rPr>
                <w:sz w:val="26"/>
                <w:szCs w:val="26"/>
              </w:rPr>
            </w:r>
          </w:p>
        </w:tc>
        <w:tc>
          <w:tcPr>
            <w:gridSpan w:val="6"/>
            <w:tcW w:w="1984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17 195,77</w:t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1"/>
          <w:trHeight w:val="675"/>
        </w:trPr>
        <w:tc>
          <w:tcPr>
            <w:gridSpan w:val="4"/>
            <w:tcW w:w="728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/>
            <w:bookmarkStart w:id="1" w:name="_GoBack"/>
            <w:r/>
            <w:bookmarkEnd w:id="1"/>
            <w:r>
              <w:rPr>
                <w:sz w:val="26"/>
                <w:szCs w:val="26"/>
              </w:rPr>
              <w:t xml:space="preserve">1.4</w:t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652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Основное мероприятие: Библиотечное </w:t>
            </w:r>
            <w:r>
              <w:rPr>
                <w:sz w:val="26"/>
                <w:szCs w:val="26"/>
              </w:rPr>
              <w:t xml:space="preserve">о</w:t>
            </w:r>
            <w:r>
              <w:rPr>
                <w:sz w:val="26"/>
                <w:szCs w:val="26"/>
              </w:rPr>
              <w:t xml:space="preserve">бслуживание </w:t>
            </w:r>
            <w:r>
              <w:rPr>
                <w:sz w:val="26"/>
                <w:szCs w:val="26"/>
              </w:rPr>
              <w:t xml:space="preserve">н</w:t>
            </w:r>
            <w:r>
              <w:rPr>
                <w:sz w:val="26"/>
                <w:szCs w:val="26"/>
              </w:rPr>
              <w:t xml:space="preserve">аселения</w:t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355,17</w:t>
            </w:r>
            <w:r>
              <w:rPr>
                <w:sz w:val="26"/>
                <w:szCs w:val="26"/>
              </w:rPr>
            </w:r>
          </w:p>
        </w:tc>
        <w:tc>
          <w:tcPr>
            <w:gridSpan w:val="6"/>
            <w:tcW w:w="1984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23 483,94</w:t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1"/>
          <w:trHeight w:val="675"/>
        </w:trPr>
        <w:tc>
          <w:tcPr>
            <w:gridSpan w:val="19"/>
            <w:tcW w:w="14904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 9 месяцев 2025 года муниципальным казенным учреждением культуры «Централизованная библиотечная система» Нефтекумского муници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пального округа Ставропольского края контрольные показатели составили: проведено 1814 информационно-просветительских мероприятий, количество экземпляров новых поступлений на 1000 человек населения составило 35 экз.; количество посещений библиотек – 324077.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>
          <w:gridBefore w:val="2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9" w:type="dxa"/>
            <w:textDirection w:val="lrTb"/>
            <w:noWrap w:val="false"/>
          </w:tcPr>
          <w:p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22" w:type="dxa"/>
            <w:textDirection w:val="lrTb"/>
            <w:noWrap w:val="false"/>
          </w:tcPr>
          <w:p>
            <w:pPr>
              <w:rPr>
                <w:sz w:val="26"/>
                <w:szCs w:val="26"/>
                <w:lang w:eastAsia="en-US"/>
              </w:rPr>
            </w:pPr>
            <w:r>
              <w:rPr>
                <w:i/>
                <w:color w:val="1d1b11"/>
                <w:spacing w:val="-24"/>
                <w:sz w:val="26"/>
                <w:szCs w:val="26"/>
                <w:lang w:eastAsia="en-US"/>
              </w:rPr>
              <w:t xml:space="preserve">Контрольное событие: </w:t>
            </w:r>
            <w:r>
              <w:rPr>
                <w:color w:val="1d1b11"/>
                <w:spacing w:val="-24"/>
                <w:sz w:val="26"/>
                <w:szCs w:val="26"/>
                <w:lang w:eastAsia="en-US"/>
              </w:rPr>
              <w:t xml:space="preserve">Проведение информационно-просветительских мероприятий.</w:t>
            </w: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09.01.2025 - 30.12.2025</w:t>
            </w:r>
            <w:r>
              <w:rPr>
                <w:sz w:val="26"/>
                <w:szCs w:val="26"/>
                <w:lang w:eastAsia="en-US"/>
              </w:rPr>
              <w:t xml:space="preserve">/09.01.2025-30.09.2025</w:t>
            </w: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83" w:type="dxa"/>
            <w:textDirection w:val="lrTb"/>
            <w:noWrap w:val="false"/>
          </w:tcPr>
          <w:p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96" w:type="dxa"/>
            <w:textDirection w:val="lrTb"/>
            <w:noWrap w:val="false"/>
          </w:tcPr>
          <w:p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82" w:type="dxa"/>
            <w:textDirection w:val="lrTb"/>
            <w:noWrap w:val="false"/>
          </w:tcPr>
          <w:p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</w:p>
        </w:tc>
      </w:tr>
      <w:tr>
        <w:tblPrEx/>
        <w:trPr>
          <w:gridBefore w:val="2"/>
        </w:trPr>
        <w:tc>
          <w:tcPr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895" w:type="dxa"/>
            <w:textDirection w:val="lrTb"/>
            <w:noWrap w:val="false"/>
          </w:tcPr>
          <w:p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Мероприятия проведены в срок и в полном объёме: Проведено 1814  информационно-просветительских мероприятий, на которых присутствовало 44958 чел., что соответствует ходу реализации Программы.</w:t>
            </w:r>
            <w:r>
              <w:rPr>
                <w:sz w:val="26"/>
                <w:szCs w:val="26"/>
                <w:lang w:eastAsia="en-US"/>
              </w:rPr>
            </w:r>
          </w:p>
        </w:tc>
      </w:tr>
      <w:tr>
        <w:tblPrEx/>
        <w:trPr>
          <w:gridBefore w:val="2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7" w:type="dxa"/>
            <w:textDirection w:val="lrTb"/>
            <w:noWrap w:val="false"/>
          </w:tcPr>
          <w:p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34" w:type="dxa"/>
            <w:textDirection w:val="lrTb"/>
            <w:noWrap w:val="false"/>
          </w:tcPr>
          <w:p>
            <w:pPr>
              <w:rPr>
                <w:sz w:val="26"/>
                <w:szCs w:val="26"/>
                <w:lang w:eastAsia="en-US"/>
              </w:rPr>
            </w:pPr>
            <w:r>
              <w:rPr>
                <w:i/>
                <w:color w:val="1d1b11"/>
                <w:spacing w:val="-24"/>
                <w:sz w:val="26"/>
                <w:szCs w:val="26"/>
                <w:lang w:eastAsia="en-US"/>
              </w:rPr>
              <w:t xml:space="preserve">Контрольное событие: </w:t>
            </w:r>
            <w:r>
              <w:rPr>
                <w:color w:val="1d1b11"/>
                <w:sz w:val="26"/>
                <w:szCs w:val="26"/>
              </w:rPr>
              <w:t xml:space="preserve">Пополнение количества печатных изданий в электронном виде.</w:t>
            </w: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09.01.2025 - 30.12.2025</w:t>
            </w:r>
            <w:r>
              <w:rPr>
                <w:sz w:val="26"/>
                <w:szCs w:val="26"/>
                <w:lang w:eastAsia="en-US"/>
              </w:rPr>
              <w:t xml:space="preserve">/09.01.2025-30.09.2025</w:t>
            </w: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83" w:type="dxa"/>
            <w:textDirection w:val="lrTb"/>
            <w:noWrap w:val="false"/>
          </w:tcPr>
          <w:p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96" w:type="dxa"/>
            <w:textDirection w:val="lrTb"/>
            <w:noWrap w:val="false"/>
          </w:tcPr>
          <w:p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82" w:type="dxa"/>
            <w:textDirection w:val="lrTb"/>
            <w:noWrap w:val="false"/>
          </w:tcPr>
          <w:p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</w:p>
        </w:tc>
      </w:tr>
      <w:tr>
        <w:tblPrEx/>
        <w:trPr>
          <w:gridBefore w:val="2"/>
        </w:trPr>
        <w:tc>
          <w:tcPr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895" w:type="dxa"/>
            <w:textDirection w:val="lrTb"/>
            <w:noWrap w:val="false"/>
          </w:tcPr>
          <w:p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Мероприятия проведены в срок и в полном объёме: Электронный каталог пополнился на 9381 единицы, что соответствует ходу реализации Программы.</w:t>
            </w:r>
            <w:r>
              <w:rPr>
                <w:sz w:val="26"/>
                <w:szCs w:val="26"/>
                <w:lang w:eastAsia="en-US"/>
              </w:rPr>
            </w:r>
          </w:p>
        </w:tc>
      </w:tr>
      <w:tr>
        <w:tblPrEx/>
        <w:trPr>
          <w:gridBefore w:val="2"/>
          <w:trHeight w:val="651"/>
        </w:trPr>
        <w:tc>
          <w:tcPr>
            <w:gridSpan w:val="2"/>
            <w:tcW w:w="707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1.5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6534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Осуществление хранения, изучения и публичного представления музейных предметов и музейных коллекций.</w:t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09.01.2025 - 30.12.2025</w:t>
            </w:r>
            <w:r>
              <w:rPr>
                <w:sz w:val="26"/>
                <w:szCs w:val="26"/>
                <w:lang w:eastAsia="en-US"/>
              </w:rPr>
              <w:t xml:space="preserve">/09.01.2025-3</w:t>
            </w:r>
            <w:r>
              <w:rPr>
                <w:sz w:val="26"/>
                <w:szCs w:val="26"/>
                <w:lang w:eastAsia="en-US"/>
              </w:rPr>
              <w:t xml:space="preserve">0</w:t>
            </w:r>
            <w:r>
              <w:rPr>
                <w:sz w:val="26"/>
                <w:szCs w:val="26"/>
                <w:lang w:eastAsia="en-US"/>
              </w:rPr>
              <w:t xml:space="preserve">.0</w:t>
            </w:r>
            <w:r>
              <w:rPr>
                <w:sz w:val="26"/>
                <w:szCs w:val="26"/>
                <w:lang w:eastAsia="en-US"/>
              </w:rPr>
              <w:t xml:space="preserve">6</w:t>
            </w:r>
            <w:r>
              <w:rPr>
                <w:sz w:val="26"/>
                <w:szCs w:val="26"/>
                <w:lang w:eastAsia="en-US"/>
              </w:rPr>
              <w:t xml:space="preserve">.2025</w:t>
            </w:r>
            <w:r>
              <w:rPr>
                <w:sz w:val="26"/>
                <w:szCs w:val="26"/>
              </w:rPr>
            </w:r>
          </w:p>
        </w:tc>
        <w:tc>
          <w:tcPr>
            <w:gridSpan w:val="4"/>
            <w:tcW w:w="1770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0,00</w:t>
            </w:r>
            <w:r>
              <w:rPr>
                <w:sz w:val="26"/>
                <w:szCs w:val="26"/>
              </w:rPr>
            </w:r>
          </w:p>
        </w:tc>
        <w:tc>
          <w:tcPr>
            <w:gridSpan w:val="4"/>
            <w:tcW w:w="1909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2 157,29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282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2"/>
          <w:trHeight w:val="900"/>
        </w:trPr>
        <w:tc>
          <w:tcPr>
            <w:gridSpan w:val="18"/>
            <w:tcW w:w="14895" w:type="dxa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 9 месяцев 2025 года муниципальным казенным учреждением культуры «Нефтекумский</w:t>
            </w:r>
            <w:r>
              <w:rPr>
                <w:sz w:val="26"/>
                <w:szCs w:val="26"/>
              </w:rPr>
              <w:t xml:space="preserve"> историко-краеведческий музей» Нефтекумского муниципального округа Ставропольского края в рамках данного основного мероприятия были выполнены все контрольные события. Были проведены 6 выставок, из них 5 из внемузейных фондов. Всего посетило музей 5323 чел.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2"/>
          <w:trHeight w:val="313"/>
        </w:trPr>
        <w:tc>
          <w:tcPr>
            <w:gridSpan w:val="2"/>
            <w:tcW w:w="707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6534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i/>
                <w:color w:val="1d1b11"/>
                <w:spacing w:val="-24"/>
                <w:sz w:val="26"/>
                <w:szCs w:val="26"/>
              </w:rPr>
              <w:t xml:space="preserve">Контрольное событие:</w:t>
            </w:r>
            <w:r>
              <w:rPr>
                <w:color w:val="1d1b11"/>
                <w:spacing w:val="-24"/>
                <w:sz w:val="26"/>
                <w:szCs w:val="26"/>
              </w:rPr>
              <w:t xml:space="preserve"> Организация и проведение музейных выставок, экскурсий, лекций, мероприятий.</w:t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09.01.2025 - 30.12.2025</w:t>
            </w:r>
            <w:r>
              <w:rPr>
                <w:sz w:val="26"/>
                <w:szCs w:val="26"/>
                <w:lang w:eastAsia="en-US"/>
              </w:rPr>
              <w:t xml:space="preserve">/09.01.2025-30.09.2025</w:t>
            </w:r>
            <w:r>
              <w:rPr>
                <w:sz w:val="26"/>
                <w:szCs w:val="26"/>
              </w:rPr>
            </w:r>
          </w:p>
        </w:tc>
        <w:tc>
          <w:tcPr>
            <w:gridSpan w:val="4"/>
            <w:tcW w:w="1770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4"/>
            <w:tcW w:w="1909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28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2"/>
          <w:trHeight w:val="313"/>
        </w:trPr>
        <w:tc>
          <w:tcPr>
            <w:gridSpan w:val="18"/>
            <w:tcW w:w="14895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Мероприятия проведены в срок и в полном объёме: Открытое музейное мероприятие - 34, лекций – 72, выставок – 6, что соответствует ходу реализации Программы.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2"/>
          <w:trHeight w:val="313"/>
        </w:trPr>
        <w:tc>
          <w:tcPr>
            <w:gridSpan w:val="2"/>
            <w:tcW w:w="707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6534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i/>
                <w:color w:val="1d1b11"/>
                <w:spacing w:val="-24"/>
                <w:sz w:val="26"/>
                <w:szCs w:val="26"/>
              </w:rPr>
              <w:t xml:space="preserve">Контрольное событие: </w:t>
            </w:r>
            <w:r>
              <w:rPr>
                <w:color w:val="1d1b11"/>
                <w:spacing w:val="-24"/>
                <w:sz w:val="26"/>
                <w:szCs w:val="26"/>
              </w:rPr>
              <w:t xml:space="preserve">Пополнение музейных коллекций.</w:t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09.01.2025 - 30.12.2025</w:t>
            </w:r>
            <w:r>
              <w:rPr>
                <w:sz w:val="26"/>
                <w:szCs w:val="26"/>
                <w:lang w:eastAsia="en-US"/>
              </w:rPr>
              <w:t xml:space="preserve">/09.01.2025-30.09.2025</w:t>
            </w:r>
            <w:r>
              <w:rPr>
                <w:sz w:val="26"/>
                <w:szCs w:val="26"/>
              </w:rPr>
            </w:r>
          </w:p>
        </w:tc>
        <w:tc>
          <w:tcPr>
            <w:gridSpan w:val="4"/>
            <w:tcW w:w="1770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5"/>
            <w:tcW w:w="1915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2"/>
          <w:trHeight w:val="313"/>
        </w:trPr>
        <w:tc>
          <w:tcPr>
            <w:gridSpan w:val="18"/>
            <w:tcW w:w="14895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Музейная коллекция пополнилась на 46 единиц, что соответствует ходу реализации Программы.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2"/>
          <w:trHeight w:val="270"/>
        </w:trPr>
        <w:tc>
          <w:tcPr>
            <w:gridSpan w:val="2"/>
            <w:tcW w:w="707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1.6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6534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Региональный проект «Творческие люди»</w:t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4"/>
            <w:tcW w:w="1770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0,00</w:t>
            </w:r>
            <w:r>
              <w:rPr>
                <w:sz w:val="26"/>
                <w:szCs w:val="26"/>
              </w:rPr>
            </w:r>
          </w:p>
        </w:tc>
        <w:tc>
          <w:tcPr>
            <w:gridSpan w:val="5"/>
            <w:tcW w:w="1915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0,00</w:t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2"/>
          <w:trHeight w:val="270"/>
        </w:trPr>
        <w:tc>
          <w:tcPr>
            <w:gridSpan w:val="2"/>
            <w:tcW w:w="707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1.7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6534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color w:val="1d1b11"/>
                <w:sz w:val="26"/>
                <w:szCs w:val="26"/>
              </w:rPr>
              <w:t xml:space="preserve">Региональный проект «Семейные ценности и инфраструктура культуры»</w:t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4"/>
            <w:tcW w:w="1770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0,00</w:t>
            </w:r>
            <w:r>
              <w:rPr>
                <w:sz w:val="26"/>
                <w:szCs w:val="26"/>
              </w:rPr>
            </w:r>
          </w:p>
        </w:tc>
        <w:tc>
          <w:tcPr>
            <w:gridSpan w:val="5"/>
            <w:tcW w:w="1915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0,00</w:t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2"/>
          <w:trHeight w:val="270"/>
        </w:trPr>
        <w:tc>
          <w:tcPr>
            <w:gridSpan w:val="2"/>
            <w:tcW w:w="707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6534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Подпрограмма реализация программ дополнительного образования в сфере культуры</w:t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4"/>
            <w:tcW w:w="1770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124,23</w:t>
            </w:r>
            <w:r>
              <w:rPr>
                <w:sz w:val="26"/>
                <w:szCs w:val="26"/>
              </w:rPr>
            </w:r>
          </w:p>
        </w:tc>
        <w:tc>
          <w:tcPr>
            <w:gridSpan w:val="5"/>
            <w:tcW w:w="1915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20 153,94</w:t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3"/>
          <w:trHeight w:val="391"/>
        </w:trPr>
        <w:tc>
          <w:tcPr>
            <w:gridSpan w:val="17"/>
            <w:tcW w:w="14885" w:type="dxa"/>
            <w:textDirection w:val="lrTb"/>
            <w:noWrap w:val="false"/>
          </w:tcPr>
          <w:p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В Нефтекумском муниципальном округе 4 школы дополнительного образования в сфере культуры: 1 </w:t>
            </w:r>
            <w:r>
              <w:rPr>
                <w:color w:val="000000" w:themeColor="text1"/>
                <w:sz w:val="26"/>
                <w:szCs w:val="26"/>
              </w:rPr>
              <w:t xml:space="preserve">художественная</w:t>
            </w:r>
            <w:r>
              <w:rPr>
                <w:color w:val="000000" w:themeColor="text1"/>
                <w:sz w:val="26"/>
                <w:szCs w:val="26"/>
              </w:rPr>
              <w:t xml:space="preserve"> и 3 музыкальных. </w:t>
            </w:r>
            <w:r>
              <w:rPr>
                <w:color w:val="000000" w:themeColor="text1"/>
                <w:sz w:val="26"/>
                <w:szCs w:val="26"/>
              </w:rPr>
              <w:t xml:space="preserve">Доля детей в возрасте 5-18 лет, получающих услуги по дополнительному образованию в сфере культуры, в общей численности детей данной возрастной группы, составила 3,8 %. Доля детей, п</w:t>
            </w:r>
            <w:r>
              <w:rPr>
                <w:color w:val="000000" w:themeColor="text1"/>
                <w:sz w:val="26"/>
                <w:szCs w:val="26"/>
              </w:rPr>
              <w:t xml:space="preserve">ривлекаемых к участию в творческих мероприятиях, от общего числа детей, получающих услуги по дополнительному образованию в сфере культуры, составила 91%. Количество призеров участников конкурсов Международного, краевого, межрегионального уровней – 100 чел.</w:t>
            </w:r>
            <w:r>
              <w:rPr>
                <w:color w:val="000000" w:themeColor="text1"/>
                <w:sz w:val="26"/>
                <w:szCs w:val="26"/>
              </w:rPr>
            </w:r>
          </w:p>
        </w:tc>
      </w:tr>
      <w:tr>
        <w:tblPrEx/>
        <w:trPr>
          <w:gridBefore w:val="3"/>
          <w:trHeight w:val="135"/>
        </w:trPr>
        <w:tc>
          <w:tcPr>
            <w:tcW w:w="697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2.1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6534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Основное мероприятие: Предоставление дополнительного образования детей в сфере культуры</w:t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4"/>
            <w:tcW w:w="1770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124,23</w:t>
            </w:r>
            <w:r>
              <w:rPr>
                <w:sz w:val="26"/>
                <w:szCs w:val="26"/>
              </w:rPr>
            </w:r>
          </w:p>
        </w:tc>
        <w:tc>
          <w:tcPr>
            <w:gridSpan w:val="5"/>
            <w:tcW w:w="1915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20 153,94</w:t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3"/>
          <w:trHeight w:val="135"/>
        </w:trPr>
        <w:tc>
          <w:tcPr>
            <w:tcW w:w="697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6534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Контрольное событие: </w:t>
            </w:r>
            <w:r>
              <w:rPr>
                <w:sz w:val="26"/>
                <w:szCs w:val="26"/>
              </w:rPr>
              <w:t xml:space="preserve">Участие учащихся детских школ искусств Нефтекумского района в районных, краевых, зональных, региональных конкурсах</w:t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09.01.2025 - 30.12.2025</w:t>
            </w:r>
            <w:r>
              <w:rPr>
                <w:sz w:val="26"/>
                <w:szCs w:val="26"/>
                <w:lang w:eastAsia="en-US"/>
              </w:rPr>
              <w:t xml:space="preserve">/09.01.2025-30.09.2025</w:t>
            </w:r>
            <w:r>
              <w:rPr>
                <w:sz w:val="26"/>
                <w:szCs w:val="26"/>
              </w:rPr>
            </w:r>
          </w:p>
        </w:tc>
        <w:tc>
          <w:tcPr>
            <w:gridSpan w:val="4"/>
            <w:tcW w:w="1770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  <w:tc>
          <w:tcPr>
            <w:gridSpan w:val="5"/>
            <w:tcW w:w="1915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3"/>
          <w:trHeight w:val="135"/>
        </w:trPr>
        <w:tc>
          <w:tcPr>
            <w:gridSpan w:val="17"/>
            <w:tcW w:w="14885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Мероприятия проведены в срок и в полном объёме: за истекший период учащиеся детских школ иску</w:t>
            </w:r>
            <w:r>
              <w:rPr>
                <w:sz w:val="26"/>
                <w:szCs w:val="26"/>
              </w:rPr>
              <w:t xml:space="preserve">сств пр</w:t>
            </w:r>
            <w:r>
              <w:rPr>
                <w:sz w:val="26"/>
                <w:szCs w:val="26"/>
              </w:rPr>
              <w:t xml:space="preserve">иняли участие в 10 зональном, в 12 районных, 13 международных, 36 всероссийских, 8 краевых конкурсах. Всего приняло участие 398 человек, что соответствует ходу реализации Программы.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2"/>
          <w:trHeight w:val="135"/>
        </w:trPr>
        <w:tc>
          <w:tcPr>
            <w:gridSpan w:val="2"/>
            <w:tcW w:w="707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6534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Подпрограмма «Строительство и капитальный ремонт»</w:t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5"/>
            <w:tcW w:w="1835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0,00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844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0,00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282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2"/>
          <w:trHeight w:val="135"/>
        </w:trPr>
        <w:tc>
          <w:tcPr>
            <w:gridSpan w:val="2"/>
            <w:tcW w:w="707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3.1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6534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color w:val="1d1b11"/>
                <w:sz w:val="26"/>
                <w:szCs w:val="26"/>
              </w:rPr>
              <w:t xml:space="preserve">Региональный проект «Семейные ценности и инфраструктура культуры»</w:t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5"/>
            <w:tcW w:w="1835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0,00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844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0,00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282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2"/>
          <w:trHeight w:val="135"/>
        </w:trPr>
        <w:tc>
          <w:tcPr>
            <w:gridSpan w:val="2"/>
            <w:tcW w:w="707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3.2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6534" w:type="dxa"/>
            <w:textDirection w:val="lrTb"/>
            <w:noWrap w:val="false"/>
          </w:tcPr>
          <w:p>
            <w:pPr>
              <w:rPr>
                <w:color w:val="1d1b11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Капитальный ремонт зданий и сооружений учреждений культуры</w:t>
            </w:r>
            <w:r>
              <w:rPr>
                <w:color w:val="1d1b11"/>
                <w:sz w:val="26"/>
                <w:szCs w:val="26"/>
              </w:rPr>
            </w:r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5"/>
            <w:tcW w:w="1835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0,00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844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0,00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282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2"/>
          <w:trHeight w:val="135"/>
        </w:trPr>
        <w:tc>
          <w:tcPr>
            <w:gridSpan w:val="2"/>
            <w:tcW w:w="707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6534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Подпрограмма: «Обеспечение реализации  муниципальной Программы Нефтекумского </w:t>
            </w:r>
            <w:r>
              <w:rPr>
                <w:sz w:val="26"/>
                <w:szCs w:val="26"/>
              </w:rPr>
              <w:t xml:space="preserve">муниципального</w:t>
            </w:r>
            <w:r>
              <w:rPr>
                <w:sz w:val="26"/>
                <w:szCs w:val="26"/>
              </w:rPr>
              <w:t xml:space="preserve"> округа Ставропольского края «Развития культуры» и </w:t>
            </w:r>
            <w:r>
              <w:rPr>
                <w:sz w:val="26"/>
                <w:szCs w:val="26"/>
              </w:rPr>
              <w:t xml:space="preserve">общепрограммные</w:t>
            </w:r>
            <w:r>
              <w:rPr>
                <w:sz w:val="26"/>
                <w:szCs w:val="26"/>
              </w:rPr>
              <w:t xml:space="preserve"> мероприятия»</w:t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5"/>
            <w:tcW w:w="1835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102,57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844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24 032,06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282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2"/>
          <w:trHeight w:val="135"/>
        </w:trPr>
        <w:tc>
          <w:tcPr>
            <w:gridSpan w:val="2"/>
            <w:tcW w:w="707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4.1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6534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Основное мероприятие: Осуществление управленческой  и организационной деятельности в сфере культуры</w:t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5"/>
            <w:tcW w:w="1835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102,57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844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24 032,06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282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2"/>
          <w:trHeight w:val="135"/>
        </w:trPr>
        <w:tc>
          <w:tcPr>
            <w:gridSpan w:val="2"/>
            <w:tcW w:w="707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6534" w:type="dxa"/>
            <w:textDirection w:val="lrTb"/>
            <w:noWrap w:val="false"/>
          </w:tcPr>
          <w:p>
            <w:pPr>
              <w:rPr>
                <w:i/>
                <w:sz w:val="26"/>
                <w:szCs w:val="26"/>
              </w:rPr>
            </w:pPr>
            <w:r>
              <w:rPr>
                <w:i/>
                <w:color w:val="1d1b11"/>
                <w:spacing w:val="-24"/>
                <w:sz w:val="26"/>
                <w:szCs w:val="26"/>
              </w:rPr>
              <w:t xml:space="preserve">Контрольное событие: </w:t>
            </w:r>
            <w:r>
              <w:rPr>
                <w:color w:val="1d1b11"/>
                <w:spacing w:val="-24"/>
                <w:sz w:val="26"/>
                <w:szCs w:val="26"/>
              </w:rPr>
              <w:t xml:space="preserve">Выполнение управленческих и организационных функций в сфере  культуры.</w:t>
            </w:r>
            <w:r>
              <w:rPr>
                <w:i/>
                <w:sz w:val="26"/>
                <w:szCs w:val="26"/>
              </w:rPr>
            </w:r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</w:t>
            </w:r>
            <w:r>
              <w:rPr>
                <w:sz w:val="26"/>
                <w:szCs w:val="26"/>
              </w:rPr>
              <w:t xml:space="preserve">8</w:t>
            </w:r>
            <w:r>
              <w:rPr>
                <w:sz w:val="26"/>
                <w:szCs w:val="26"/>
              </w:rPr>
              <w:t xml:space="preserve">.12.</w:t>
            </w:r>
            <w:r>
              <w:rPr>
                <w:sz w:val="26"/>
                <w:szCs w:val="26"/>
              </w:rPr>
              <w:t xml:space="preserve">202</w:t>
            </w:r>
            <w:r>
              <w:rPr>
                <w:sz w:val="26"/>
                <w:szCs w:val="26"/>
              </w:rPr>
              <w:t xml:space="preserve">5</w:t>
            </w:r>
            <w:r>
              <w:rPr>
                <w:sz w:val="26"/>
                <w:szCs w:val="26"/>
              </w:rPr>
              <w:t xml:space="preserve">/2</w:t>
            </w:r>
            <w:r>
              <w:rPr>
                <w:sz w:val="26"/>
                <w:szCs w:val="26"/>
              </w:rPr>
              <w:t xml:space="preserve">8</w:t>
            </w:r>
            <w:r>
              <w:rPr>
                <w:sz w:val="26"/>
                <w:szCs w:val="26"/>
              </w:rPr>
              <w:t xml:space="preserve">.12.</w:t>
            </w:r>
            <w:r>
              <w:rPr>
                <w:sz w:val="26"/>
                <w:szCs w:val="26"/>
              </w:rPr>
              <w:t xml:space="preserve">202</w:t>
            </w:r>
            <w:r>
              <w:rPr>
                <w:sz w:val="26"/>
                <w:szCs w:val="26"/>
              </w:rPr>
              <w:t xml:space="preserve">5</w:t>
            </w:r>
            <w:r>
              <w:rPr>
                <w:sz w:val="26"/>
                <w:szCs w:val="26"/>
              </w:rPr>
            </w:r>
          </w:p>
        </w:tc>
        <w:tc>
          <w:tcPr>
            <w:gridSpan w:val="5"/>
            <w:tcW w:w="1835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844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282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2"/>
          <w:trHeight w:val="135"/>
        </w:trPr>
        <w:tc>
          <w:tcPr>
            <w:gridSpan w:val="18"/>
            <w:tcW w:w="14895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ходе реализации данного основного мероприятия были осуществлены все организационные функции в сфере культуры. Были созданы все необходимые условия для реализации Программы.</w:t>
            </w:r>
            <w:r>
              <w:rPr>
                <w:sz w:val="26"/>
                <w:szCs w:val="26"/>
              </w:rPr>
            </w:r>
          </w:p>
        </w:tc>
      </w:tr>
    </w:tbl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sectPr>
      <w:footnotePr/>
      <w:endnotePr/>
      <w:type w:val="nextPage"/>
      <w:pgSz w:w="16838" w:h="11906" w:orient="landscape"/>
      <w:pgMar w:top="1701" w:right="1134" w:bottom="850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Style w:val="657"/>
        <w:rPr>
          <w:rFonts w:ascii="Times New Roman" w:hAnsi="Times New Roman" w:cs="Times New Roman"/>
          <w:sz w:val="24"/>
          <w:szCs w:val="24"/>
        </w:rPr>
      </w:pPr>
      <w:r>
        <w:separator/>
      </w:r>
      <w:r>
        <w:rPr>
          <w:rFonts w:ascii="Times New Roman" w:hAnsi="Times New Roman" w:cs="Times New Roman"/>
          <w:sz w:val="24"/>
          <w:szCs w:val="24"/>
        </w:rPr>
      </w:r>
    </w:p>
  </w:endnote>
  <w:endnote w:type="continuationSeparator" w:id="0">
    <w:p>
      <w:pPr>
        <w:pStyle w:val="657"/>
        <w:rPr>
          <w:rFonts w:ascii="Times New Roman" w:hAnsi="Times New Roman" w:cs="Times New Roman"/>
          <w:sz w:val="24"/>
          <w:szCs w:val="24"/>
        </w:rPr>
      </w:pPr>
      <w:r>
        <w:continuationSeparator/>
      </w:r>
      <w:r>
        <w:rPr>
          <w:rFonts w:ascii="Times New Roman" w:hAnsi="Times New Roman" w:cs="Times New Roman"/>
          <w:sz w:val="24"/>
          <w:szCs w:val="24"/>
        </w:rPr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Style w:val="657"/>
        <w:rPr>
          <w:rFonts w:ascii="Times New Roman" w:hAnsi="Times New Roman" w:cs="Times New Roman"/>
          <w:sz w:val="24"/>
          <w:szCs w:val="24"/>
        </w:rPr>
      </w:pPr>
      <w:r>
        <w:separator/>
      </w:r>
      <w:r>
        <w:rPr>
          <w:rFonts w:ascii="Times New Roman" w:hAnsi="Times New Roman" w:cs="Times New Roman"/>
          <w:sz w:val="24"/>
          <w:szCs w:val="24"/>
        </w:rPr>
      </w:r>
    </w:p>
  </w:footnote>
  <w:footnote w:type="continuationSeparator" w:id="0">
    <w:p>
      <w:pPr>
        <w:pStyle w:val="657"/>
        <w:rPr>
          <w:rFonts w:ascii="Times New Roman" w:hAnsi="Times New Roman" w:cs="Times New Roman"/>
          <w:sz w:val="24"/>
          <w:szCs w:val="24"/>
        </w:rPr>
      </w:pPr>
      <w:r>
        <w:continuationSeparator/>
      </w:r>
      <w:r>
        <w:rPr>
          <w:rFonts w:ascii="Times New Roman" w:hAnsi="Times New Roman" w:cs="Times New Roman"/>
          <w:sz w:val="24"/>
          <w:szCs w:val="24"/>
        </w:rPr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53"/>
    <w:next w:val="65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54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53"/>
    <w:next w:val="65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5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53"/>
    <w:next w:val="65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5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53"/>
    <w:next w:val="65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5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53"/>
    <w:next w:val="65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5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53"/>
    <w:next w:val="65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5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53"/>
    <w:next w:val="65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5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53"/>
    <w:next w:val="65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5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53"/>
    <w:next w:val="65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5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53"/>
    <w:uiPriority w:val="34"/>
    <w:qFormat/>
    <w:pPr>
      <w:contextualSpacing/>
      <w:ind w:left="720"/>
    </w:pPr>
  </w:style>
  <w:style w:type="paragraph" w:styleId="34">
    <w:name w:val="Title"/>
    <w:basedOn w:val="653"/>
    <w:next w:val="65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54"/>
    <w:link w:val="34"/>
    <w:uiPriority w:val="10"/>
    <w:rPr>
      <w:sz w:val="48"/>
      <w:szCs w:val="48"/>
    </w:rPr>
  </w:style>
  <w:style w:type="paragraph" w:styleId="36">
    <w:name w:val="Subtitle"/>
    <w:basedOn w:val="653"/>
    <w:next w:val="65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54"/>
    <w:link w:val="36"/>
    <w:uiPriority w:val="11"/>
    <w:rPr>
      <w:sz w:val="24"/>
      <w:szCs w:val="24"/>
    </w:rPr>
  </w:style>
  <w:style w:type="paragraph" w:styleId="38">
    <w:name w:val="Quote"/>
    <w:basedOn w:val="653"/>
    <w:next w:val="65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53"/>
    <w:next w:val="65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54"/>
    <w:link w:val="661"/>
    <w:uiPriority w:val="99"/>
  </w:style>
  <w:style w:type="character" w:styleId="45">
    <w:name w:val="Footer Char"/>
    <w:basedOn w:val="654"/>
    <w:link w:val="663"/>
    <w:uiPriority w:val="99"/>
  </w:style>
  <w:style w:type="character" w:styleId="47">
    <w:name w:val="Caption Char"/>
    <w:basedOn w:val="654"/>
    <w:link w:val="665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5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5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54"/>
    <w:uiPriority w:val="99"/>
    <w:unhideWhenUsed/>
    <w:rPr>
      <w:vertAlign w:val="superscript"/>
    </w:rPr>
  </w:style>
  <w:style w:type="paragraph" w:styleId="178">
    <w:name w:val="endnote text"/>
    <w:basedOn w:val="65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54"/>
    <w:uiPriority w:val="99"/>
    <w:semiHidden/>
    <w:unhideWhenUsed/>
    <w:rPr>
      <w:vertAlign w:val="superscript"/>
    </w:rPr>
  </w:style>
  <w:style w:type="paragraph" w:styleId="181">
    <w:name w:val="toc 1"/>
    <w:basedOn w:val="653"/>
    <w:next w:val="65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53"/>
    <w:next w:val="65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53"/>
    <w:next w:val="65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53"/>
    <w:next w:val="65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53"/>
    <w:next w:val="65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53"/>
    <w:next w:val="65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53"/>
    <w:next w:val="65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53"/>
    <w:next w:val="65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53"/>
    <w:next w:val="65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53"/>
    <w:next w:val="653"/>
    <w:uiPriority w:val="99"/>
    <w:unhideWhenUsed/>
    <w:pPr>
      <w:spacing w:after="0" w:afterAutospacing="0"/>
    </w:pPr>
  </w:style>
  <w:style w:type="paragraph" w:styleId="653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54" w:default="1">
    <w:name w:val="Default Paragraph Font"/>
    <w:uiPriority w:val="1"/>
    <w:semiHidden/>
    <w:unhideWhenUsed/>
  </w:style>
  <w:style w:type="table" w:styleId="655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56" w:default="1">
    <w:name w:val="No List"/>
    <w:uiPriority w:val="99"/>
    <w:semiHidden/>
    <w:unhideWhenUsed/>
  </w:style>
  <w:style w:type="paragraph" w:styleId="657" w:customStyle="1">
    <w:name w:val="ConsPlusNormal"/>
    <w:qFormat/>
    <w:pPr>
      <w:spacing w:after="0" w:line="240" w:lineRule="auto"/>
    </w:pPr>
    <w:rPr>
      <w:rFonts w:ascii="Arial" w:hAnsi="Arial" w:eastAsia="Times New Roman" w:cs="Arial"/>
      <w:sz w:val="20"/>
      <w:szCs w:val="20"/>
      <w:lang w:eastAsia="ru-RU"/>
    </w:rPr>
  </w:style>
  <w:style w:type="table" w:styleId="658">
    <w:name w:val="Table Grid"/>
    <w:basedOn w:val="65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659">
    <w:name w:val="No Spacing"/>
    <w:uiPriority w:val="1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660" w:customStyle="1">
    <w:name w:val="Сетка таблицы1"/>
    <w:basedOn w:val="655"/>
    <w:next w:val="658"/>
    <w:uiPriority w:val="59"/>
    <w:pPr>
      <w:spacing w:after="0" w:line="240" w:lineRule="auto"/>
    </w:pPr>
    <w:rPr>
      <w:rFonts w:ascii="Calibri" w:hAnsi="Calibri" w:eastAsia="Calibri" w:cs="Times New Roman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661">
    <w:name w:val="Header"/>
    <w:basedOn w:val="653"/>
    <w:link w:val="662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662" w:customStyle="1">
    <w:name w:val="Верхний колонтитул Знак"/>
    <w:basedOn w:val="654"/>
    <w:link w:val="661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63">
    <w:name w:val="Footer"/>
    <w:basedOn w:val="653"/>
    <w:link w:val="664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664" w:customStyle="1">
    <w:name w:val="Нижний колонтитул Знак"/>
    <w:basedOn w:val="654"/>
    <w:link w:val="663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65">
    <w:name w:val="Caption"/>
    <w:basedOn w:val="653"/>
    <w:qFormat/>
    <w:pPr>
      <w:jc w:val="center"/>
    </w:pPr>
    <w:rPr>
      <w:b/>
      <w:sz w:val="32"/>
      <w:szCs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diakov.net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lisyuchenko</cp:lastModifiedBy>
  <cp:revision>7</cp:revision>
  <dcterms:created xsi:type="dcterms:W3CDTF">2025-07-18T10:43:00Z</dcterms:created>
  <dcterms:modified xsi:type="dcterms:W3CDTF">2025-10-20T06:24:18Z</dcterms:modified>
</cp:coreProperties>
</file>